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№208 от 13 марта 2013 г.</w:t>
      </w:r>
    </w:p>
    <w:p>
      <w:pPr>
        <w:pStyle w:val="Heading2"/>
        <w:rPr/>
      </w:pPr>
      <w:r>
        <w:rPr/>
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>
      <w:pPr>
        <w:pStyle w:val="TextBody"/>
        <w:rPr/>
      </w:pPr>
      <w:r>
        <w:rPr/>
        <w:t>В соответствии с частью четвертой статьи 275 Трудового кодекса Российской Федерации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>
      <w:pPr>
        <w:pStyle w:val="TextBody"/>
        <w:rPr/>
      </w:pPr>
      <w:r>
        <w:rPr/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