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A4" w:rsidRPr="00B242A4" w:rsidRDefault="00B242A4" w:rsidP="002F7A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A4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</w:t>
      </w:r>
    </w:p>
    <w:p w:rsidR="00B242A4" w:rsidRPr="00B242A4" w:rsidRDefault="00B242A4" w:rsidP="002F7A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A4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доходах, расходах, об имуществе и</w:t>
      </w:r>
    </w:p>
    <w:p w:rsidR="00B242A4" w:rsidRPr="00B242A4" w:rsidRDefault="00B242A4" w:rsidP="002F7A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A4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и заполнения</w:t>
      </w:r>
    </w:p>
    <w:p w:rsidR="00B242A4" w:rsidRDefault="00B242A4" w:rsidP="002F7A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A4">
        <w:rPr>
          <w:rFonts w:ascii="Times New Roman" w:hAnsi="Times New Roman" w:cs="Times New Roman"/>
          <w:b/>
          <w:sz w:val="28"/>
          <w:szCs w:val="28"/>
        </w:rPr>
        <w:t>соответствующей формы справки в 2019 году (за отчетный 2018 год)</w:t>
      </w:r>
    </w:p>
    <w:p w:rsidR="002F7AB1" w:rsidRPr="00B242A4" w:rsidRDefault="002F7AB1" w:rsidP="002F7A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практика подготовки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ежегодно обновляемых Методических рекомендаций по вопросам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 справки,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направления их в заинтересованные государственные органы и организации,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а также размещения на официальном сайте Минтруда России.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кампании 2019 года (за отчетный 2018 год) подготовлены Министерством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при участии Администрации</w:t>
      </w:r>
      <w:bookmarkStart w:id="0" w:name="_GoBack"/>
      <w:bookmarkEnd w:id="0"/>
      <w:r w:rsidRPr="00B242A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и согласованы Генеральной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прокуратурой Российской Федерации.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предлагаем обратить внимание на следующее.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В Методических рекомендациях отмечено, что представление сведений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в случае увольнения в период декларационной кампании не является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нарушением (пункт 16).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Методические рекомендации дополнены порядком представления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уточненных сведений, в частности, в пункте 29 указано, что при уточнении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необходимо представлять только ту справку о доходах, расходах, об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(далее – справка), в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которой не отражены или не полностью отражены какие-либо сведения либо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имеются ошибки.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В пунктах 35-37 Методических рекомендаций указано на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необходимость представления справок с использованием специального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программного обеспечения «Справки БК» в случаях, установленных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Методические рекомендации дополнены случаями, когда те или иные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денежные средства признаются либо не признаются доходом для целей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антикоррупционного законодательства (подпункт 35 пункта 58, подпункт 22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пункта 60 и др.).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заполнения сведений о счетах в банках и иных кредитных организациях.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Также в Методических рекомендациях указано, что в подразделе 6.2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необходимо отражать следующую информацию: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- об обязательствах по договорам страхования жизни на случай смерти,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дожития до определенного возраста или срока либо наступления иного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lastRenderedPageBreak/>
        <w:t>события;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- об обязательствах по договорам пенсионного страхования;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- об обязательствах по договорам страхования жизни с условием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периодических страховых выплат (ренты, аннуитетов) и (или) с участием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страхователя в инвестиционном доходе страховщика;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- о заключенных договорах о брокерском обслуживании;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- о заключенных договорах на ведение индивидуальных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инвестиционных счетов.</w:t>
      </w:r>
    </w:p>
    <w:p w:rsidR="00B242A4" w:rsidRPr="00B242A4" w:rsidRDefault="00B242A4" w:rsidP="002F7A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В этой связи дополнительно отмечаем, что письмо Минтруда России от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11 апреля 2018 г. № 18-2/10/В-2575 в части, касающейся заполнения справки,</w:t>
      </w:r>
    </w:p>
    <w:p w:rsidR="00A40237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4">
        <w:rPr>
          <w:rFonts w:ascii="Times New Roman" w:hAnsi="Times New Roman" w:cs="Times New Roman"/>
          <w:sz w:val="28"/>
          <w:szCs w:val="28"/>
        </w:rPr>
        <w:t>фактически утрачивает силу.</w:t>
      </w:r>
    </w:p>
    <w:p w:rsidR="00B242A4" w:rsidRPr="00B242A4" w:rsidRDefault="00B242A4" w:rsidP="002F7A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42A4" w:rsidRPr="00B2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E"/>
    <w:rsid w:val="002F7AB1"/>
    <w:rsid w:val="00A40237"/>
    <w:rsid w:val="00B242A4"/>
    <w:rsid w:val="00C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D9F8D-89B2-493C-B363-B50FAA34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2019-04-11T07:07:00Z</dcterms:created>
  <dcterms:modified xsi:type="dcterms:W3CDTF">2019-04-11T10:26:00Z</dcterms:modified>
</cp:coreProperties>
</file>